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
        <w:spacing w:lineRule="auto" w:line="360"/>
        <w:jc w:val="center"/>
        <w:rPr>
          <w:b/>
          <w:b/>
          <w:szCs w:val="28"/>
          <w:lang w:val="uk-UA"/>
        </w:rPr>
      </w:pPr>
      <w:r>
        <w:rPr>
          <w:b/>
          <w:szCs w:val="28"/>
          <w:lang w:val="uk-UA"/>
        </w:rPr>
        <w:t>НАУКОВІ ПУБЛІКАЦІЇ КАФЕДРИ</w:t>
      </w:r>
      <w:r/>
    </w:p>
    <w:p>
      <w:pPr>
        <w:pStyle w:val="BodyText3"/>
        <w:spacing w:lineRule="auto" w:line="360"/>
        <w:jc w:val="center"/>
        <w:rPr>
          <w:b/>
          <w:b/>
          <w:szCs w:val="28"/>
          <w:lang w:val="uk-UA"/>
        </w:rPr>
      </w:pPr>
      <w:r>
        <w:rPr>
          <w:b/>
          <w:szCs w:val="28"/>
          <w:lang w:val="uk-UA"/>
        </w:rPr>
        <w:t xml:space="preserve"> </w:t>
      </w:r>
      <w:r>
        <w:rPr>
          <w:b/>
          <w:szCs w:val="28"/>
          <w:lang w:val="uk-UA"/>
        </w:rPr>
        <w:t>КЛІНІЧНОЇ ЛАБОРАТОРНОЇ ДІАГНОСТИКИ 2017-2018 рр.</w:t>
      </w:r>
      <w:r/>
    </w:p>
    <w:p>
      <w:pPr>
        <w:pStyle w:val="BodyText3"/>
        <w:spacing w:lineRule="auto" w:line="360"/>
        <w:rPr>
          <w:sz w:val="24"/>
          <w:b/>
          <w:sz w:val="24"/>
          <w:b/>
          <w:szCs w:val="24"/>
          <w:rFonts w:eastAsia="Times New Roman" w:cs="Times New Roman"/>
          <w:lang w:val="uk-UA" w:eastAsia="ru-RU"/>
        </w:rPr>
      </w:pPr>
      <w:r>
        <w:rPr>
          <w:b/>
          <w:sz w:val="24"/>
          <w:szCs w:val="24"/>
          <w:lang w:val="uk-UA"/>
        </w:rPr>
      </w:r>
      <w:r/>
    </w:p>
    <w:p>
      <w:pPr>
        <w:pStyle w:val="BodyText3"/>
        <w:rPr>
          <w:sz w:val="24"/>
          <w:b/>
          <w:sz w:val="24"/>
          <w:b/>
          <w:szCs w:val="24"/>
          <w:lang w:val="uk-UA"/>
        </w:rPr>
      </w:pPr>
      <w:r>
        <w:rPr>
          <w:b/>
          <w:sz w:val="24"/>
          <w:szCs w:val="24"/>
          <w:lang w:val="uk-UA"/>
        </w:rPr>
        <w:t>СТАТТІ:</w:t>
      </w:r>
      <w:r/>
    </w:p>
    <w:p>
      <w:pPr>
        <w:pStyle w:val="BodyText3"/>
        <w:rPr>
          <w:sz w:val="24"/>
          <w:b/>
          <w:sz w:val="24"/>
          <w:b/>
          <w:szCs w:val="24"/>
          <w:rFonts w:eastAsia="Times New Roman" w:cs="Times New Roman"/>
          <w:lang w:val="uk-UA" w:eastAsia="ru-RU"/>
        </w:rPr>
      </w:pPr>
      <w:r>
        <w:rPr>
          <w:b/>
          <w:sz w:val="24"/>
          <w:szCs w:val="24"/>
          <w:lang w:val="uk-UA"/>
        </w:rPr>
      </w:r>
      <w:r/>
    </w:p>
    <w:p>
      <w:pPr>
        <w:pStyle w:val="ListParagraph"/>
        <w:numPr>
          <w:ilvl w:val="0"/>
          <w:numId w:val="1"/>
        </w:numPr>
        <w:spacing w:lineRule="auto" w:line="240"/>
        <w:ind w:left="0" w:hanging="360"/>
        <w:rPr>
          <w:sz w:val="24"/>
          <w:sz w:val="24"/>
          <w:szCs w:val="24"/>
          <w:lang w:val="en-US"/>
        </w:rPr>
      </w:pPr>
      <w:r>
        <w:rPr>
          <w:sz w:val="24"/>
          <w:szCs w:val="24"/>
          <w:lang w:val="en-US"/>
        </w:rPr>
        <w:t>Акімова В.М., Лаповець Л.Є. Системні прояви запалення при гострих та хронічних абдомінальних захворюваннях //  Фізіологічний журнал. – 2018. – Т.64, № 2. – С. 47-53.</w:t>
      </w:r>
      <w:r/>
    </w:p>
    <w:p>
      <w:pPr>
        <w:pStyle w:val="ListParagraph"/>
        <w:numPr>
          <w:ilvl w:val="0"/>
          <w:numId w:val="1"/>
        </w:numPr>
        <w:spacing w:lineRule="auto" w:line="240"/>
        <w:ind w:left="0" w:hanging="360"/>
        <w:rPr>
          <w:sz w:val="24"/>
          <w:sz w:val="24"/>
          <w:szCs w:val="24"/>
          <w:lang w:val="en-US"/>
        </w:rPr>
      </w:pPr>
      <w:r>
        <w:rPr>
          <w:color w:val="000000"/>
          <w:sz w:val="24"/>
          <w:szCs w:val="24"/>
          <w:shd w:fill="FFFFFF" w:val="clear"/>
        </w:rPr>
        <w:t>Акімова В.М., Лаповець Л.Є., Лаповець Н.Є., Цимбала О.П. Вміст молекул середньої маси та циркулюючих імунних комплексів у крові хворих на гострий апендицит та абдомінальний туберкульоз у комплексній оцінці ендогенної інтоксикації // Експериментальна та клінічна фізіологія і біохімія. – 2017. – №4. – С.52-56.</w:t>
      </w:r>
      <w:r/>
    </w:p>
    <w:p>
      <w:pPr>
        <w:pStyle w:val="ListParagraph"/>
        <w:numPr>
          <w:ilvl w:val="0"/>
          <w:numId w:val="1"/>
        </w:numPr>
        <w:spacing w:lineRule="auto" w:line="240"/>
        <w:ind w:left="0" w:hanging="360"/>
        <w:rPr>
          <w:sz w:val="24"/>
          <w:sz w:val="24"/>
          <w:szCs w:val="24"/>
          <w:lang w:val="en-US"/>
        </w:rPr>
      </w:pPr>
      <w:r>
        <w:rPr>
          <w:sz w:val="24"/>
          <w:szCs w:val="24"/>
          <w:lang w:val="en-US"/>
        </w:rPr>
        <w:t xml:space="preserve">Акімова В.М., Лаповець Н.Є., Лаповець Л.Є. Експресія маркерів активації та апоптозу на лімфоцити периферичної крові при різних стадіях розвитку гнійно-запального процесу органів черевної порожнини </w:t>
      </w:r>
      <w:r>
        <w:rPr>
          <w:sz w:val="24"/>
          <w:szCs w:val="24"/>
        </w:rPr>
        <w:t>//</w:t>
      </w:r>
      <w:r>
        <w:rPr>
          <w:sz w:val="24"/>
          <w:szCs w:val="24"/>
          <w:lang w:val="en-US"/>
        </w:rPr>
        <w:t xml:space="preserve"> Вісник проблем біології та медицини. – 2017. – Вип. 4, Т.3. – С. 328-363.</w:t>
      </w:r>
      <w:r/>
    </w:p>
    <w:p>
      <w:pPr>
        <w:pStyle w:val="ListParagraph"/>
        <w:numPr>
          <w:ilvl w:val="0"/>
          <w:numId w:val="1"/>
        </w:numPr>
        <w:spacing w:lineRule="auto" w:line="240"/>
        <w:ind w:left="0" w:hanging="360"/>
        <w:rPr>
          <w:sz w:val="24"/>
          <w:sz w:val="24"/>
          <w:szCs w:val="24"/>
          <w:lang w:val="en-US"/>
        </w:rPr>
      </w:pPr>
      <w:r>
        <w:rPr>
          <w:sz w:val="24"/>
          <w:szCs w:val="24"/>
          <w:lang w:val="en-US"/>
        </w:rPr>
        <w:t xml:space="preserve">Вивчар Р.Я., Лаповец Л.Е. </w:t>
      </w:r>
      <w:r>
        <w:rPr>
          <w:sz w:val="24"/>
          <w:szCs w:val="24"/>
        </w:rPr>
        <w:t>Состояние гуморального звена иммунитета у пацтентом с рассеяным склерозом // Лабораторная диагностика Восточная Европа</w:t>
      </w:r>
      <w:r>
        <w:rPr>
          <w:sz w:val="24"/>
          <w:szCs w:val="24"/>
          <w:lang w:val="en-US"/>
        </w:rPr>
        <w:t>. – 2018. – Т.7, №1. – С. 94-98.</w:t>
      </w:r>
      <w:r/>
    </w:p>
    <w:p>
      <w:pPr>
        <w:pStyle w:val="ListParagraph"/>
        <w:numPr>
          <w:ilvl w:val="0"/>
          <w:numId w:val="1"/>
        </w:numPr>
        <w:spacing w:lineRule="auto" w:line="240"/>
        <w:ind w:left="0" w:hanging="360"/>
        <w:rPr>
          <w:sz w:val="24"/>
          <w:sz w:val="24"/>
          <w:szCs w:val="24"/>
          <w:lang w:val="en-US"/>
        </w:rPr>
      </w:pPr>
      <w:r>
        <w:rPr>
          <w:sz w:val="24"/>
          <w:szCs w:val="24"/>
          <w:lang w:val="en-US"/>
        </w:rPr>
        <w:t>Вихтюк Т.І., Лаповець Л.Є. Визначення вмісту прозапальних та протизапальних цитокінів у пацієнтів із інфекцією області хірургічного втручання після реконструктивних операцій з приводу критичної ішемії нижніх кінцівок // Вісник проблем біології та медицини. – 2018. – Вип. 1, Т.1 (142). – С. 113-117.</w:t>
      </w:r>
      <w:r/>
    </w:p>
    <w:p>
      <w:pPr>
        <w:pStyle w:val="ListParagraph"/>
        <w:numPr>
          <w:ilvl w:val="0"/>
          <w:numId w:val="1"/>
        </w:numPr>
        <w:spacing w:lineRule="auto" w:line="240"/>
        <w:ind w:left="0" w:hanging="360"/>
        <w:rPr>
          <w:sz w:val="24"/>
          <w:sz w:val="24"/>
          <w:szCs w:val="24"/>
          <w:lang w:val="en-US"/>
        </w:rPr>
      </w:pPr>
      <w:r>
        <w:rPr>
          <w:sz w:val="24"/>
          <w:szCs w:val="24"/>
          <w:lang w:val="en-US"/>
        </w:rPr>
        <w:t>Заремба Є.Х., Ястремська О.О., Заремба-Федчишин О.В., Заремба О.В. Значення лабораторної медицини у практиці сімейного лікаря на етапі реформування первинної медико-сантітарної допомоги // Сімейна медицина. – 2018. - № 1. – С.47-51.</w:t>
      </w:r>
      <w:r/>
    </w:p>
    <w:p>
      <w:pPr>
        <w:pStyle w:val="ListParagraph"/>
        <w:numPr>
          <w:ilvl w:val="0"/>
          <w:numId w:val="1"/>
        </w:numPr>
        <w:spacing w:lineRule="auto" w:line="240"/>
        <w:ind w:left="0" w:hanging="360"/>
        <w:rPr>
          <w:sz w:val="24"/>
          <w:sz w:val="24"/>
          <w:szCs w:val="24"/>
          <w:lang w:val="en-US"/>
        </w:rPr>
      </w:pPr>
      <w:r>
        <w:rPr>
          <w:sz w:val="24"/>
          <w:szCs w:val="24"/>
          <w:lang w:val="en-US"/>
        </w:rPr>
        <w:t>Козопас Н.М., Максимюк Г.В., Лаповець Л.Є., Одноріг Л.О. Метаболічний синдром та чоловіче безпліддя: сучасний погляд на проблему // Вісник проблем біології та медицини. – 2018. – Вип. 2 (144). – С. 26-30.</w:t>
      </w:r>
      <w:r/>
    </w:p>
    <w:p>
      <w:pPr>
        <w:pStyle w:val="ListParagraph"/>
        <w:numPr>
          <w:ilvl w:val="0"/>
          <w:numId w:val="1"/>
        </w:numPr>
        <w:spacing w:lineRule="auto" w:line="240"/>
        <w:ind w:left="0" w:hanging="360"/>
        <w:rPr>
          <w:sz w:val="24"/>
          <w:sz w:val="24"/>
          <w:szCs w:val="24"/>
          <w:lang w:val="en-US"/>
        </w:rPr>
      </w:pPr>
      <w:r>
        <w:rPr>
          <w:sz w:val="24"/>
          <w:szCs w:val="24"/>
          <w:lang w:val="en-US"/>
        </w:rPr>
        <w:t xml:space="preserve">Лагода Л.С., Безвушко Е.В., Лаповец Л.Е. Дисбаланс в уровнях содержания секреторного Ig A Ig G </w:t>
      </w:r>
      <w:r>
        <w:rPr>
          <w:sz w:val="24"/>
          <w:szCs w:val="24"/>
        </w:rPr>
        <w:t>ротовой жидкости детей которые проживают на териториях с разными уровнями загрязненности // Лабораторная диагностика Восточная Европа</w:t>
      </w:r>
      <w:r>
        <w:rPr>
          <w:sz w:val="24"/>
          <w:szCs w:val="24"/>
          <w:lang w:val="en-US"/>
        </w:rPr>
        <w:t>. – 2018. – Т.7, №1. – С. 99-103.</w:t>
      </w:r>
      <w:r/>
    </w:p>
    <w:p>
      <w:pPr>
        <w:pStyle w:val="ListParagraph"/>
        <w:numPr>
          <w:ilvl w:val="0"/>
          <w:numId w:val="1"/>
        </w:numPr>
        <w:spacing w:lineRule="auto" w:line="240"/>
        <w:ind w:left="0" w:hanging="360"/>
        <w:rPr>
          <w:sz w:val="24"/>
          <w:sz w:val="24"/>
          <w:szCs w:val="24"/>
          <w:lang w:val="en-US"/>
        </w:rPr>
      </w:pPr>
      <w:r>
        <w:rPr>
          <w:sz w:val="24"/>
          <w:szCs w:val="24"/>
        </w:rPr>
        <w:t>Олекшій О.П., Лаповець Л.Є., Уштан С.В., Горицький В.М.</w:t>
      </w:r>
      <w:r>
        <w:rPr>
          <w:rStyle w:val="A11"/>
          <w:sz w:val="24"/>
          <w:szCs w:val="24"/>
        </w:rPr>
        <w:t xml:space="preserve"> Вплив дентальної імплантації та магнітотерапії на цитокіновий статус пацієнтів</w:t>
      </w:r>
      <w:r>
        <w:rPr>
          <w:sz w:val="24"/>
          <w:szCs w:val="24"/>
        </w:rPr>
        <w:t xml:space="preserve"> // Вісник проблем біології і медицини. – 2017. – № 4 (том 3). – С. 360-363.</w:t>
      </w:r>
      <w:r>
        <w:rPr>
          <w:b/>
          <w:sz w:val="24"/>
          <w:szCs w:val="24"/>
        </w:rPr>
        <w:t xml:space="preserve"> </w:t>
      </w:r>
      <w:r/>
    </w:p>
    <w:p>
      <w:pPr>
        <w:pStyle w:val="ListParagraph"/>
        <w:numPr>
          <w:ilvl w:val="0"/>
          <w:numId w:val="1"/>
        </w:numPr>
        <w:spacing w:lineRule="auto" w:line="240"/>
        <w:ind w:left="0" w:hanging="360"/>
        <w:rPr>
          <w:sz w:val="24"/>
          <w:sz w:val="24"/>
          <w:szCs w:val="24"/>
          <w:lang w:val="en-US"/>
        </w:rPr>
      </w:pPr>
      <w:r>
        <w:rPr>
          <w:sz w:val="24"/>
          <w:szCs w:val="24"/>
        </w:rPr>
        <w:t>Степась Ю. М., Лаповец Л. Е., Акимова В. М. Состояние системы ингибиторов протеиназ крови при острых абдоминальных заболеваниях // Лабораторная диагностика Восточная Европа</w:t>
      </w:r>
      <w:r>
        <w:rPr>
          <w:sz w:val="24"/>
          <w:szCs w:val="24"/>
          <w:lang w:val="en-US"/>
        </w:rPr>
        <w:t>. – 2017. – Т.6, №4. – С. 493-498.</w:t>
      </w:r>
      <w:r/>
    </w:p>
    <w:p>
      <w:pPr>
        <w:pStyle w:val="ListParagraph"/>
        <w:numPr>
          <w:ilvl w:val="0"/>
          <w:numId w:val="1"/>
        </w:numPr>
        <w:spacing w:lineRule="auto" w:line="240"/>
        <w:ind w:left="0" w:hanging="360"/>
        <w:rPr>
          <w:sz w:val="24"/>
          <w:sz w:val="24"/>
          <w:szCs w:val="24"/>
          <w:lang w:val="en-US"/>
        </w:rPr>
      </w:pPr>
      <w:r>
        <w:rPr>
          <w:sz w:val="24"/>
          <w:szCs w:val="24"/>
        </w:rPr>
        <w:t>Степась Ю. М., Лаповець Л. Є., Акімова В. М., Лебедь Г. Б. Кореляційний аналіз показників гомеостазу і фенкціонального стану печінки за гострого калькульозного холециститу //</w:t>
      </w:r>
      <w:r>
        <w:rPr>
          <w:sz w:val="24"/>
          <w:szCs w:val="24"/>
          <w:lang w:val="en-US"/>
        </w:rPr>
        <w:t xml:space="preserve"> Медична та клінічна хімія. – 2017. – Т. 19, № 4. – С. 104-108.</w:t>
      </w:r>
      <w:r/>
    </w:p>
    <w:p>
      <w:pPr>
        <w:pStyle w:val="ListParagraph"/>
        <w:numPr>
          <w:ilvl w:val="0"/>
          <w:numId w:val="1"/>
        </w:numPr>
        <w:spacing w:lineRule="auto" w:line="240"/>
        <w:ind w:left="0" w:hanging="360"/>
        <w:rPr>
          <w:sz w:val="24"/>
          <w:sz w:val="24"/>
          <w:szCs w:val="24"/>
          <w:lang w:val="en-US"/>
        </w:rPr>
      </w:pPr>
      <w:r>
        <w:rPr>
          <w:sz w:val="24"/>
          <w:szCs w:val="24"/>
          <w:lang w:val="en-US"/>
        </w:rPr>
        <w:t>Шалай О.О., Лебедь Г.Б., Барілка В.А. та ін. Експресія CD 38 і вуглеводні детермінанти лейкемічних В лімфоцитів при хронічний лімфоцитарній лейкемії //  Гематологія і переливання крові. – 2017. – Вип. 39. – С.214-221.</w:t>
      </w:r>
      <w:r/>
    </w:p>
    <w:p>
      <w:pPr>
        <w:pStyle w:val="ListParagraph"/>
        <w:numPr>
          <w:ilvl w:val="0"/>
          <w:numId w:val="1"/>
        </w:numPr>
        <w:spacing w:lineRule="auto" w:line="240"/>
        <w:ind w:left="0" w:hanging="360"/>
        <w:rPr>
          <w:sz w:val="24"/>
          <w:sz w:val="24"/>
          <w:szCs w:val="24"/>
          <w:lang w:val="en-US"/>
        </w:rPr>
      </w:pPr>
      <w:r>
        <w:rPr>
          <w:sz w:val="24"/>
          <w:szCs w:val="24"/>
          <w:lang w:val="en-GB"/>
        </w:rPr>
        <w:t>Alterations in Arginase-NO-Synthase system of spermatozoa in human subjects with different fertility potential / R. V. Fafula, U. P. Iefremova, O. K. Onofrovych, H. V. Maksymyuk et al. // J. Med. Biochem. – 2018. – V. 37. – P. 1-7.</w:t>
      </w:r>
      <w:r/>
    </w:p>
    <w:p>
      <w:pPr>
        <w:pStyle w:val="ListParagraph"/>
        <w:numPr>
          <w:ilvl w:val="0"/>
          <w:numId w:val="1"/>
        </w:numPr>
        <w:spacing w:lineRule="auto" w:line="240"/>
        <w:ind w:left="0" w:hanging="360"/>
        <w:rPr>
          <w:sz w:val="24"/>
          <w:sz w:val="24"/>
          <w:szCs w:val="24"/>
          <w:lang w:val="en-US"/>
        </w:rPr>
      </w:pPr>
      <w:r>
        <w:rPr>
          <w:sz w:val="24"/>
          <w:szCs w:val="24"/>
          <w:lang w:val="en-GB"/>
        </w:rPr>
        <w:t>Effect of hydrogen peroxide on Na</w:t>
      </w:r>
      <w:r>
        <w:rPr>
          <w:sz w:val="24"/>
          <w:szCs w:val="24"/>
          <w:vertAlign w:val="superscript"/>
          <w:lang w:val="en-GB"/>
        </w:rPr>
        <w:t>+</w:t>
      </w:r>
      <w:r>
        <w:rPr>
          <w:sz w:val="24"/>
          <w:szCs w:val="24"/>
          <w:lang w:val="en-GB"/>
        </w:rPr>
        <w:t>,K</w:t>
      </w:r>
      <w:r>
        <w:rPr>
          <w:sz w:val="24"/>
          <w:szCs w:val="24"/>
          <w:vertAlign w:val="superscript"/>
          <w:lang w:val="en-GB"/>
        </w:rPr>
        <w:t>+</w:t>
      </w:r>
      <w:r>
        <w:rPr>
          <w:sz w:val="24"/>
          <w:szCs w:val="24"/>
          <w:lang w:val="en-GB"/>
        </w:rPr>
        <w:t>-ATPaes activity in spermatozoa of infertile men / R. V. Fafula, O. I. Meskalo, E. I. Lychkovskyy, U. P. Iefremova, O. K. Onofrovych, H. V. Maksymyuk et al. // Regulatory Mechanisms in Biosystems. – 2017. – № 4. – Vol. 8. – P. 521-526.</w:t>
      </w:r>
      <w:r/>
    </w:p>
    <w:p>
      <w:pPr>
        <w:pStyle w:val="ListParagraph"/>
        <w:numPr>
          <w:ilvl w:val="0"/>
          <w:numId w:val="1"/>
        </w:numPr>
        <w:spacing w:lineRule="auto" w:line="240"/>
        <w:ind w:left="0" w:hanging="360"/>
        <w:rPr>
          <w:sz w:val="24"/>
          <w:sz w:val="24"/>
          <w:szCs w:val="24"/>
          <w:lang w:val="en-US"/>
        </w:rPr>
      </w:pPr>
      <w:r>
        <w:rPr>
          <w:sz w:val="24"/>
          <w:szCs w:val="24"/>
          <w:lang w:val="en-US"/>
        </w:rPr>
        <w:t>Krynytska I., Marushchak M., Svan O., Akimova V. et al. The indices of endogenous intoxication in rats with carrageenan solution consumption // Georgian medical news. – 2018. - № 6(279). – P. 196-200.</w:t>
      </w:r>
      <w:r/>
    </w:p>
    <w:p>
      <w:pPr>
        <w:pStyle w:val="ListParagraph"/>
        <w:numPr>
          <w:ilvl w:val="0"/>
          <w:numId w:val="1"/>
        </w:numPr>
        <w:spacing w:lineRule="auto" w:line="240"/>
        <w:ind w:left="0" w:hanging="360"/>
        <w:rPr>
          <w:sz w:val="24"/>
          <w:sz w:val="24"/>
          <w:szCs w:val="24"/>
          <w:lang w:val="en-US"/>
        </w:rPr>
      </w:pPr>
      <w:r>
        <w:rPr>
          <w:rFonts w:eastAsia="ＭＳ 明朝" w:cs="Times" w:ascii="Times" w:hAnsi="Times" w:eastAsiaTheme="minorEastAsia"/>
          <w:bCs/>
          <w:sz w:val="24"/>
          <w:szCs w:val="24"/>
          <w:lang w:val="en-US"/>
        </w:rPr>
        <w:t>The kinetic properties of arginase in sperm cells of inferile men /</w:t>
      </w:r>
      <w:r>
        <w:rPr>
          <w:rFonts w:eastAsia="ＭＳ 明朝" w:eastAsiaTheme="minorEastAsia"/>
          <w:sz w:val="24"/>
          <w:szCs w:val="24"/>
          <w:lang w:val="en-US"/>
        </w:rPr>
        <w:t xml:space="preserve">R.V. Fafula, U. P. Iefremova, O. K. Onufrovych, H. V. Maksymyuk et al. </w:t>
      </w:r>
      <w:r>
        <w:rPr>
          <w:sz w:val="24"/>
          <w:szCs w:val="24"/>
          <w:lang w:val="en-GB"/>
        </w:rPr>
        <w:t>// Regulatory Mechanisms in Biosystems. – 2018. – № 9. – Vol. 1. – P. 80-84.</w:t>
      </w:r>
      <w:r/>
    </w:p>
    <w:p>
      <w:pPr>
        <w:pStyle w:val="ListParagraph"/>
        <w:numPr>
          <w:ilvl w:val="0"/>
          <w:numId w:val="1"/>
        </w:numPr>
        <w:spacing w:lineRule="auto" w:line="240"/>
        <w:ind w:left="0" w:hanging="360"/>
        <w:rPr>
          <w:sz w:val="24"/>
          <w:sz w:val="24"/>
          <w:szCs w:val="24"/>
          <w:lang w:val="en-US"/>
        </w:rPr>
      </w:pPr>
      <w:r>
        <w:rPr>
          <w:sz w:val="24"/>
          <w:szCs w:val="24"/>
          <w:lang w:val="en-US"/>
        </w:rPr>
        <w:t xml:space="preserve">Yevstakhevych Y.L., Vyhovska Y.I., Yevstakhevych I. Y., Semerak M.M., Lebed H.B., Lohinsky V.E. Efficacy of splenectomy in patients with non-Hodgkin’s lymphomas associated with autoimmune hemolytic anemia and Evans-Fisher syndrome // Onkology. – 2017. – T. 19, №2. – P. 102-109. </w:t>
      </w:r>
      <w:r/>
    </w:p>
    <w:p>
      <w:pPr>
        <w:pStyle w:val="BodyText3"/>
        <w:ind w:left="510" w:hanging="0"/>
        <w:rPr>
          <w:sz w:val="24"/>
          <w:b/>
          <w:sz w:val="24"/>
          <w:b/>
          <w:szCs w:val="24"/>
          <w:rFonts w:eastAsia="Times New Roman" w:cs="Times New Roman"/>
          <w:lang w:val="uk-UA" w:eastAsia="ru-RU"/>
        </w:rPr>
      </w:pPr>
      <w:r>
        <w:rPr>
          <w:b/>
          <w:sz w:val="24"/>
          <w:szCs w:val="24"/>
          <w:lang w:val="uk-UA"/>
        </w:rPr>
      </w:r>
      <w:r/>
    </w:p>
    <w:p>
      <w:pPr>
        <w:pStyle w:val="Normal"/>
        <w:tabs>
          <w:tab w:val="left" w:pos="567" w:leader="none"/>
          <w:tab w:val="left" w:pos="4361" w:leader="none"/>
          <w:tab w:val="left" w:pos="6629" w:leader="none"/>
          <w:tab w:val="left" w:pos="7479" w:leader="none"/>
          <w:tab w:val="left" w:pos="9747" w:leader="none"/>
        </w:tabs>
        <w:spacing w:lineRule="auto" w:line="360"/>
        <w:ind w:firstLine="709"/>
        <w:jc w:val="both"/>
        <w:rPr>
          <w:caps/>
          <w:sz w:val="24"/>
          <w:b/>
          <w:sz w:val="24"/>
          <w:b/>
          <w:szCs w:val="24"/>
          <w:bCs/>
          <w:lang w:val="uk-UA" w:eastAsia="uk-UA"/>
        </w:rPr>
      </w:pPr>
      <w:bookmarkStart w:id="0" w:name="_GoBack"/>
      <w:bookmarkEnd w:id="0"/>
      <w:r>
        <w:rPr>
          <w:b/>
          <w:bCs/>
          <w:caps/>
          <w:sz w:val="24"/>
          <w:szCs w:val="24"/>
          <w:lang w:val="uk-UA" w:eastAsia="uk-UA"/>
        </w:rPr>
        <w:t>Тези:</w:t>
      </w:r>
      <w:r/>
    </w:p>
    <w:p>
      <w:pPr>
        <w:pStyle w:val="ListParagraph"/>
        <w:numPr>
          <w:ilvl w:val="0"/>
          <w:numId w:val="3"/>
        </w:numPr>
        <w:spacing w:lineRule="auto" w:line="240"/>
        <w:ind w:left="0" w:hanging="360"/>
        <w:rPr>
          <w:sz w:val="24"/>
          <w:sz w:val="24"/>
          <w:szCs w:val="24"/>
          <w:lang w:val="en-US"/>
        </w:rPr>
      </w:pPr>
      <w:r>
        <w:rPr>
          <w:sz w:val="24"/>
          <w:szCs w:val="24"/>
          <w:lang w:val="en-US"/>
        </w:rPr>
        <w:t>Галькевич М.П., Барнетт О.Ю., Луців Н.З. Адаптаційні реакції у хворих на гострий коронарний синдром без елевації ST (NSTEMI) після стентування вінцевих артерій (ВА) // X Науково-практична конференція (з міжнародною участю) "Актуальні питання патології за умов дії надзвичайних факторів на організм". – 5-6.10. – 2017. – С.</w:t>
      </w:r>
      <w:r/>
    </w:p>
    <w:p>
      <w:pPr>
        <w:pStyle w:val="ListParagraph"/>
        <w:numPr>
          <w:ilvl w:val="0"/>
          <w:numId w:val="3"/>
        </w:numPr>
        <w:spacing w:lineRule="auto" w:line="240"/>
        <w:ind w:left="0" w:hanging="360"/>
        <w:rPr>
          <w:sz w:val="24"/>
          <w:sz w:val="24"/>
          <w:szCs w:val="24"/>
          <w:lang w:val="en-US"/>
        </w:rPr>
      </w:pPr>
      <w:r>
        <w:rPr>
          <w:sz w:val="24"/>
          <w:szCs w:val="24"/>
          <w:lang w:val="en-US"/>
        </w:rPr>
        <w:t>Козопас Н.М. Зв’язок компонентів метаболічного синдрому та чоловічого безпліддя //  Міжнародна науково-практична конференція "Досягнення медичної науки  як чинник стабільності розвитку медичної практики". – 9-10.03. – 2018. – С.51-55.</w:t>
      </w:r>
      <w:r/>
    </w:p>
    <w:p>
      <w:pPr>
        <w:pStyle w:val="ListParagraph"/>
        <w:numPr>
          <w:ilvl w:val="0"/>
          <w:numId w:val="3"/>
        </w:numPr>
        <w:spacing w:lineRule="auto" w:line="240"/>
        <w:ind w:left="0" w:hanging="360"/>
        <w:rPr>
          <w:sz w:val="24"/>
          <w:sz w:val="24"/>
          <w:szCs w:val="24"/>
          <w:lang w:val="en-US"/>
        </w:rPr>
      </w:pPr>
      <w:r>
        <w:rPr>
          <w:sz w:val="24"/>
          <w:szCs w:val="24"/>
          <w:lang w:val="en-US"/>
        </w:rPr>
        <w:t>Луців Н.З., Акімова В.М., Лаповець Л.Є. Кількість активних фагоцитів у крові хворих на гострий холецистит при різних типах адаптаційних реакцій в динаміці лікування // ІІІ Національний конгрес з імунології, алергології та імунореабілітації. – Дніпро. – 17-19 квітня. – 2018 // Імунологія та алергологія: наука і практика. – 2018. – № 1. – Додаток № 2.</w:t>
      </w:r>
      <w:r/>
    </w:p>
    <w:p>
      <w:pPr>
        <w:pStyle w:val="ListParagraph"/>
        <w:numPr>
          <w:ilvl w:val="0"/>
          <w:numId w:val="3"/>
        </w:numPr>
        <w:spacing w:lineRule="auto" w:line="240"/>
        <w:ind w:left="0" w:hanging="360"/>
        <w:rPr>
          <w:sz w:val="24"/>
          <w:sz w:val="24"/>
          <w:szCs w:val="24"/>
          <w:lang w:val="en-US"/>
        </w:rPr>
      </w:pPr>
      <w:r>
        <w:rPr>
          <w:sz w:val="24"/>
          <w:szCs w:val="24"/>
        </w:rPr>
        <w:t xml:space="preserve">Олекшій П.В., Лаповець Л.Є., Уштан С.В. Цитокіновий профіль сироватки крові осіб, після проведення дентальної імплантації та застосування магнітотерапії </w:t>
      </w:r>
      <w:r>
        <w:rPr>
          <w:rFonts w:cs="MinionPro-Bold" w:ascii="MinionPro-Bold" w:hAnsi="MinionPro-Bold"/>
          <w:bCs/>
          <w:sz w:val="24"/>
          <w:szCs w:val="24"/>
        </w:rPr>
        <w:t>Мат.</w:t>
      </w:r>
      <w:r>
        <w:rPr>
          <w:sz w:val="24"/>
          <w:szCs w:val="24"/>
        </w:rPr>
        <w:t>наук.-прак. конф. з міжнар. уч. "Стоматологічна наука і практика на Слобожанщині: історія, надбання і перспективи розвитку" 5-6 жовтня 2017 року. – Харків, 2017. – С. 122-124.</w:t>
      </w:r>
      <w:r/>
    </w:p>
    <w:p>
      <w:pPr>
        <w:pStyle w:val="ListParagraph"/>
        <w:numPr>
          <w:ilvl w:val="0"/>
          <w:numId w:val="3"/>
        </w:numPr>
        <w:spacing w:lineRule="auto" w:line="240"/>
        <w:ind w:left="0" w:hanging="360"/>
        <w:rPr>
          <w:sz w:val="24"/>
          <w:sz w:val="24"/>
          <w:szCs w:val="24"/>
          <w:lang w:val="en-US"/>
        </w:rPr>
      </w:pPr>
      <w:r>
        <w:rPr>
          <w:sz w:val="24"/>
          <w:szCs w:val="24"/>
          <w:lang w:val="en-US"/>
        </w:rPr>
        <w:t xml:space="preserve">Степась Ю.М., Лаповець Л.Є. Концентрація a-1 </w:t>
      </w:r>
      <w:r>
        <w:rPr>
          <w:sz w:val="24"/>
          <w:szCs w:val="24"/>
        </w:rPr>
        <w:t>антитрипсину</w:t>
      </w:r>
      <w:r>
        <w:rPr>
          <w:sz w:val="24"/>
          <w:szCs w:val="24"/>
          <w:lang w:val="en-US"/>
        </w:rPr>
        <w:t>,</w:t>
      </w:r>
      <w:r>
        <w:rPr>
          <w:sz w:val="24"/>
          <w:szCs w:val="24"/>
        </w:rPr>
        <w:t xml:space="preserve"> як потужного інгібітора протеїназ, у хворих на гострий холецистит //</w:t>
      </w:r>
      <w:r>
        <w:rPr>
          <w:sz w:val="24"/>
          <w:szCs w:val="24"/>
          <w:lang w:val="en-US"/>
        </w:rPr>
        <w:t xml:space="preserve"> ІІІ Міжнародна науково-практична конференція "Сучасна наука: проблеми і перспективи". – Київ. – 6-7.10.2017. – С. 54-55.</w:t>
      </w:r>
      <w:r/>
    </w:p>
    <w:p>
      <w:pPr>
        <w:pStyle w:val="ListParagraph"/>
        <w:numPr>
          <w:ilvl w:val="0"/>
          <w:numId w:val="3"/>
        </w:numPr>
        <w:spacing w:lineRule="auto" w:line="240"/>
        <w:ind w:left="0" w:hanging="360"/>
        <w:rPr>
          <w:sz w:val="24"/>
          <w:sz w:val="24"/>
          <w:szCs w:val="24"/>
          <w:lang w:val="en-US"/>
        </w:rPr>
      </w:pPr>
      <w:r>
        <w:rPr>
          <w:sz w:val="24"/>
          <w:szCs w:val="24"/>
          <w:lang w:val="en-US"/>
        </w:rPr>
        <w:t>Степась Ю.М., Лаповець Л.Є., Акімова В.М., Лебедь Г.Б. Маркери системної запальної реакції при гострих абдомінальних захворюваннях //Міжнародна науково-практична конференція "Охорона та захист здоров’я людини в умовах сьогодення". – Київ. – 3-4.11. – 2017. – С. 7-10.</w:t>
      </w:r>
      <w:r/>
    </w:p>
    <w:p>
      <w:pPr>
        <w:pStyle w:val="ListParagraph"/>
        <w:numPr>
          <w:ilvl w:val="0"/>
          <w:numId w:val="3"/>
        </w:numPr>
        <w:spacing w:lineRule="auto" w:line="240"/>
        <w:ind w:left="0" w:hanging="360"/>
        <w:rPr>
          <w:sz w:val="24"/>
          <w:sz w:val="24"/>
          <w:szCs w:val="24"/>
          <w:lang w:val="en-US"/>
        </w:rPr>
      </w:pPr>
      <w:r>
        <w:rPr>
          <w:sz w:val="24"/>
          <w:szCs w:val="24"/>
          <w:lang w:val="en-US"/>
        </w:rPr>
        <w:t>Akimova V.M., Lapovets L.E., Odnorih L.O., Tsymbala O.P., Stepas J.M. The NO-synthase activity in patients with acute destructive appendicitis // FEBS3+-Meeting-XIth Parnas Conference-Young Scientist Forum "Biochemistry and Molecular Biology for Innovative Medicine" /The Ukrainian biochemical journal. – 2018. – Vol. 90, Special Iss. – P. 163.</w:t>
      </w:r>
      <w:r/>
    </w:p>
    <w:p>
      <w:pPr>
        <w:pStyle w:val="ListParagraph"/>
        <w:numPr>
          <w:ilvl w:val="0"/>
          <w:numId w:val="3"/>
        </w:numPr>
        <w:spacing w:lineRule="auto" w:line="240"/>
        <w:ind w:left="0" w:hanging="360"/>
        <w:rPr>
          <w:sz w:val="24"/>
          <w:sz w:val="24"/>
          <w:szCs w:val="24"/>
          <w:lang w:val="en-US"/>
        </w:rPr>
      </w:pPr>
      <w:r>
        <w:rPr>
          <w:sz w:val="24"/>
          <w:szCs w:val="24"/>
          <w:lang w:val="en-US"/>
        </w:rPr>
        <w:t>Akimova V.M., Lapovets N.E., Lutsiv N.Z. et al. Serum level of TNFá and soluble TNFRP55 in abdominal tuberculosis //Microbiology and Immunology – the development outlook in the 21</w:t>
      </w:r>
      <w:r>
        <w:rPr>
          <w:sz w:val="24"/>
          <w:szCs w:val="24"/>
          <w:vertAlign w:val="superscript"/>
          <w:lang w:val="en-US"/>
        </w:rPr>
        <w:t>st</w:t>
      </w:r>
      <w:r>
        <w:rPr>
          <w:sz w:val="24"/>
          <w:szCs w:val="24"/>
          <w:lang w:val="en-US"/>
        </w:rPr>
        <w:t xml:space="preserve"> century. – Kyiv. – 19-20.04. – 2018. – P.121</w:t>
      </w:r>
      <w:r/>
    </w:p>
    <w:p>
      <w:pPr>
        <w:pStyle w:val="ListParagraph"/>
        <w:numPr>
          <w:ilvl w:val="0"/>
          <w:numId w:val="3"/>
        </w:numPr>
        <w:spacing w:lineRule="auto" w:line="240"/>
        <w:ind w:left="0" w:hanging="360"/>
        <w:rPr>
          <w:sz w:val="24"/>
          <w:sz w:val="24"/>
          <w:szCs w:val="24"/>
          <w:lang w:val="en-US"/>
        </w:rPr>
      </w:pPr>
      <w:r>
        <w:rPr>
          <w:sz w:val="24"/>
          <w:szCs w:val="24"/>
          <w:lang w:val="en-US"/>
        </w:rPr>
        <w:t>Barnett O., Polyetayeva K., Halkevych M., Lutsiv N. et al. Novel marker of myocardial remodeling ST2 and the influence of aldosterone antagonist in patients with heart failure caused by hypertension and ischemic heart disease // Hypertension Journal. – 2018. – V.36. – Abstract e163.</w:t>
      </w:r>
      <w:r/>
    </w:p>
    <w:p>
      <w:pPr>
        <w:pStyle w:val="ListParagraph"/>
        <w:numPr>
          <w:ilvl w:val="0"/>
          <w:numId w:val="3"/>
        </w:numPr>
        <w:spacing w:lineRule="auto" w:line="240"/>
        <w:ind w:left="0" w:hanging="360"/>
        <w:rPr>
          <w:sz w:val="24"/>
          <w:sz w:val="24"/>
          <w:szCs w:val="24"/>
          <w:lang w:val="en-US"/>
        </w:rPr>
      </w:pPr>
      <w:r>
        <w:rPr>
          <w:sz w:val="24"/>
          <w:szCs w:val="24"/>
          <w:lang w:val="en-US"/>
        </w:rPr>
        <w:t>Stepas J.M., Lapovets L.E., Lavro Z.Ya. Anticoagulant and antiinflamatory role of protein C for acute calculosis cholecystitis // The international research and practical conference "The development of medical sciences: problems and solutions". – Brno. – 2018. – 27-28 April. - P. 139-141.</w:t>
      </w:r>
      <w:r/>
    </w:p>
    <w:p>
      <w:pPr>
        <w:pStyle w:val="ListParagraph"/>
        <w:numPr>
          <w:ilvl w:val="0"/>
          <w:numId w:val="3"/>
        </w:numPr>
        <w:spacing w:lineRule="auto" w:line="240"/>
        <w:ind w:left="0" w:hanging="360"/>
        <w:rPr>
          <w:lang w:val="en-US"/>
        </w:rPr>
      </w:pPr>
      <w:r>
        <w:rPr>
          <w:sz w:val="24"/>
          <w:szCs w:val="24"/>
          <w:lang w:val="en-US"/>
        </w:rPr>
        <w:t>Yevstakhevych Y., Yevstakhevych I., Semerak M., Knysh O., Lavryk A., Vyhovska Y., Lebed H.B., Lohinsky V.E. Splenectomy outcomes in non-Hodgkin lymphomas // 68 Kongres Towarzystwa chirurgow polskich. – Krakow. – 27-30 wrzesnia. – 2017. – P. 558.</w:t>
      </w:r>
      <w:r>
        <w:rPr>
          <w:lang w:val="en-US"/>
        </w:rPr>
        <w:t xml:space="preserve"> </w:t>
      </w:r>
      <w:r/>
    </w:p>
    <w:p>
      <w:pPr>
        <w:pStyle w:val="Normal"/>
        <w:jc w:val="both"/>
        <w:rPr>
          <w:sz w:val="24"/>
          <w:b/>
          <w:sz w:val="24"/>
          <w:b/>
          <w:szCs w:val="24"/>
          <w:rFonts w:eastAsia="Times New Roman" w:cs="Times New Roman"/>
          <w:color w:val="000000"/>
          <w:lang w:val="uk-UA" w:eastAsia="ru-RU"/>
        </w:rPr>
      </w:pPr>
      <w:r>
        <w:rPr>
          <w:b/>
          <w:color w:val="000000"/>
          <w:sz w:val="24"/>
          <w:szCs w:val="24"/>
          <w:lang w:val="uk-UA"/>
        </w:rPr>
      </w:r>
      <w:r/>
    </w:p>
    <w:p>
      <w:pPr>
        <w:pStyle w:val="Normal"/>
        <w:jc w:val="both"/>
        <w:rPr>
          <w:caps/>
          <w:sz w:val="24"/>
          <w:b/>
          <w:sz w:val="24"/>
          <w:b/>
          <w:szCs w:val="24"/>
          <w:bCs/>
          <w:color w:val="000000"/>
        </w:rPr>
      </w:pPr>
      <w:r>
        <w:rPr>
          <w:b/>
          <w:bCs/>
          <w:caps/>
          <w:color w:val="000000"/>
          <w:sz w:val="24"/>
          <w:szCs w:val="24"/>
          <w:lang w:val="uk-UA"/>
        </w:rPr>
        <w:t xml:space="preserve">Патенти: </w:t>
      </w:r>
      <w:r/>
    </w:p>
    <w:p>
      <w:pPr>
        <w:pStyle w:val="Normal"/>
        <w:ind w:firstLine="709"/>
        <w:rPr>
          <w:sz w:val="24"/>
          <w:sz w:val="24"/>
          <w:szCs w:val="24"/>
          <w:rFonts w:eastAsia="Times New Roman" w:cs="Times New Roman"/>
          <w:lang w:val="uk-UA" w:eastAsia="ru-RU"/>
        </w:rPr>
      </w:pPr>
      <w:r>
        <w:rPr>
          <w:sz w:val="24"/>
          <w:szCs w:val="24"/>
          <w:lang w:val="uk-UA"/>
        </w:rPr>
      </w:r>
      <w:r/>
    </w:p>
    <w:p>
      <w:pPr>
        <w:pStyle w:val="ListParagraph"/>
        <w:widowControl w:val="false"/>
        <w:numPr>
          <w:ilvl w:val="0"/>
          <w:numId w:val="2"/>
        </w:numPr>
        <w:spacing w:lineRule="auto" w:line="240" w:before="0" w:after="240"/>
        <w:ind w:left="0" w:hanging="360"/>
        <w:contextualSpacing/>
        <w:rPr>
          <w:sz w:val="24"/>
          <w:sz w:val="24"/>
          <w:szCs w:val="24"/>
          <w:bCs/>
          <w:rFonts w:eastAsia="ＭＳ 明朝" w:eastAsiaTheme="minorEastAsia"/>
          <w:lang w:val="en-US"/>
        </w:rPr>
      </w:pPr>
      <w:r>
        <w:rPr>
          <w:rFonts w:eastAsia="ＭＳ 明朝" w:eastAsiaTheme="minorEastAsia"/>
          <w:bCs/>
          <w:sz w:val="24"/>
          <w:szCs w:val="24"/>
          <w:lang w:val="en-US"/>
        </w:rPr>
        <w:t xml:space="preserve">Пат. U № 124906 </w:t>
      </w:r>
      <w:r>
        <w:rPr>
          <w:rFonts w:eastAsia="ＭＳ 明朝" w:eastAsiaTheme="minorEastAsia"/>
          <w:sz w:val="24"/>
          <w:szCs w:val="24"/>
          <w:lang w:val="en-US"/>
        </w:rPr>
        <w:t xml:space="preserve">МПК </w:t>
      </w:r>
      <w:r>
        <w:rPr>
          <w:rFonts w:eastAsia="ＭＳ 明朝" w:eastAsiaTheme="minorEastAsia"/>
          <w:bCs/>
          <w:i/>
          <w:iCs/>
          <w:sz w:val="24"/>
          <w:szCs w:val="24"/>
          <w:lang w:val="en-US"/>
        </w:rPr>
        <w:t xml:space="preserve">G01N 33/48 </w:t>
      </w:r>
      <w:r>
        <w:rPr>
          <w:rFonts w:eastAsia="ＭＳ 明朝" w:eastAsiaTheme="minorEastAsia"/>
          <w:sz w:val="24"/>
          <w:szCs w:val="24"/>
          <w:lang w:val="en-US"/>
        </w:rPr>
        <w:t xml:space="preserve">(2006.01) (2006.01) </w:t>
      </w:r>
      <w:r>
        <w:rPr>
          <w:rFonts w:eastAsia="ＭＳ 明朝" w:eastAsiaTheme="minorEastAsia"/>
          <w:bCs/>
          <w:sz w:val="24"/>
          <w:szCs w:val="24"/>
          <w:lang w:val="en-US"/>
        </w:rPr>
        <w:t xml:space="preserve">Спосіб визначення активності запального процесу при гострому холециститі / Степась Ю.М., Лаповець Л.Є., Акімова В.М., Дем’янчук Н.Р.; заявник і патентовласник ЛНМУ ім. Данила Галицького. - № u 2017 11297; </w:t>
      </w:r>
      <w:r>
        <w:rPr>
          <w:rFonts w:eastAsia="ＭＳ 明朝" w:eastAsiaTheme="minorEastAsia"/>
          <w:sz w:val="24"/>
          <w:szCs w:val="24"/>
          <w:lang w:val="en-US"/>
        </w:rPr>
        <w:t xml:space="preserve"> заявл. </w:t>
      </w:r>
      <w:r>
        <w:rPr>
          <w:rFonts w:eastAsia="ＭＳ 明朝" w:eastAsiaTheme="minorEastAsia"/>
          <w:bCs/>
          <w:position w:val="-2"/>
          <w:sz w:val="24"/>
          <w:szCs w:val="24"/>
          <w:lang w:val="en-US"/>
        </w:rPr>
        <w:t xml:space="preserve">20.11.2017; опубл. </w:t>
      </w:r>
      <w:r>
        <w:rPr>
          <w:rFonts w:eastAsia="ＭＳ 明朝" w:eastAsiaTheme="minorEastAsia"/>
          <w:sz w:val="24"/>
          <w:szCs w:val="24"/>
          <w:lang w:val="en-US"/>
        </w:rPr>
        <w:t> </w:t>
      </w:r>
      <w:r>
        <w:rPr>
          <w:rFonts w:eastAsia="ＭＳ 明朝" w:eastAsiaTheme="minorEastAsia"/>
          <w:bCs/>
          <w:sz w:val="24"/>
          <w:szCs w:val="24"/>
          <w:lang w:val="en-US"/>
        </w:rPr>
        <w:t>25.04.2018. - Бюл. № 8 – 4 c.</w:t>
      </w:r>
      <w:r/>
    </w:p>
    <w:p>
      <w:pPr>
        <w:pStyle w:val="ListParagraph"/>
        <w:widowControl w:val="false"/>
        <w:numPr>
          <w:ilvl w:val="0"/>
          <w:numId w:val="2"/>
        </w:numPr>
        <w:spacing w:lineRule="auto" w:line="240" w:before="0" w:after="240"/>
        <w:ind w:left="0" w:hanging="360"/>
        <w:contextualSpacing/>
        <w:rPr>
          <w:sz w:val="24"/>
          <w:sz w:val="24"/>
          <w:szCs w:val="24"/>
          <w:rFonts w:ascii="Times" w:hAnsi="Times" w:eastAsia="ＭＳ 明朝" w:cs="Times" w:eastAsiaTheme="minorEastAsia"/>
          <w:lang w:val="en-US"/>
        </w:rPr>
      </w:pPr>
      <w:r>
        <w:rPr>
          <w:rFonts w:eastAsia="ＭＳ 明朝" w:eastAsiaTheme="minorEastAsia"/>
          <w:bCs/>
          <w:sz w:val="24"/>
          <w:szCs w:val="24"/>
          <w:lang w:val="en-US"/>
        </w:rPr>
        <w:t xml:space="preserve">Пат. U №127221 </w:t>
      </w:r>
      <w:r>
        <w:rPr>
          <w:rFonts w:eastAsia="ＭＳ 明朝" w:eastAsiaTheme="minorEastAsia"/>
          <w:sz w:val="24"/>
          <w:szCs w:val="24"/>
          <w:lang w:val="en-US"/>
        </w:rPr>
        <w:t xml:space="preserve">МПК </w:t>
      </w:r>
      <w:r>
        <w:rPr>
          <w:rFonts w:eastAsia="ＭＳ 明朝" w:eastAsiaTheme="minorEastAsia"/>
          <w:bCs/>
          <w:i/>
          <w:iCs/>
          <w:sz w:val="24"/>
          <w:szCs w:val="24"/>
          <w:lang w:val="en-US"/>
        </w:rPr>
        <w:t xml:space="preserve">G01N 5/04 </w:t>
      </w:r>
      <w:r>
        <w:rPr>
          <w:rFonts w:eastAsia="ＭＳ 明朝" w:eastAsiaTheme="minorEastAsia"/>
          <w:sz w:val="24"/>
          <w:szCs w:val="24"/>
          <w:lang w:val="en-US"/>
        </w:rPr>
        <w:t xml:space="preserve">(2006.01) </w:t>
      </w:r>
      <w:r>
        <w:rPr>
          <w:rFonts w:eastAsia="ＭＳ 明朝" w:eastAsiaTheme="minorEastAsia"/>
          <w:bCs/>
          <w:i/>
          <w:iCs/>
          <w:sz w:val="24"/>
          <w:szCs w:val="24"/>
          <w:lang w:val="en-US"/>
        </w:rPr>
        <w:t xml:space="preserve">G01N 33/48 </w:t>
      </w:r>
      <w:r>
        <w:rPr>
          <w:rFonts w:eastAsia="ＭＳ 明朝" w:eastAsiaTheme="minorEastAsia"/>
          <w:sz w:val="24"/>
          <w:szCs w:val="24"/>
          <w:lang w:val="en-US"/>
        </w:rPr>
        <w:t xml:space="preserve">(2006.01) </w:t>
      </w:r>
      <w:r>
        <w:rPr>
          <w:rFonts w:eastAsia="ＭＳ 明朝" w:eastAsiaTheme="minorEastAsia"/>
          <w:bCs/>
          <w:sz w:val="24"/>
          <w:szCs w:val="24"/>
          <w:lang w:val="en-US"/>
        </w:rPr>
        <w:t xml:space="preserve">Спосіб визначення та аналізу змін маси складових у пробах тканин і секретів органів людини і тварини / Максимюк Г.В., Воробець Д.З., Козопас Н.М., Фафула Р.В. та ін.; ; заявник і патентовласник ЛНМУ ім. Данила Галицького. - № u 2018 01026; </w:t>
      </w:r>
      <w:r>
        <w:rPr>
          <w:rFonts w:eastAsia="ＭＳ 明朝" w:eastAsiaTheme="minorEastAsia"/>
          <w:sz w:val="24"/>
          <w:szCs w:val="24"/>
          <w:lang w:val="en-US"/>
        </w:rPr>
        <w:t xml:space="preserve"> заявл. </w:t>
      </w:r>
      <w:r>
        <w:rPr>
          <w:rFonts w:eastAsia="ＭＳ 明朝" w:eastAsiaTheme="minorEastAsia"/>
          <w:bCs/>
          <w:position w:val="-2"/>
          <w:sz w:val="24"/>
          <w:szCs w:val="24"/>
          <w:lang w:val="en-US"/>
        </w:rPr>
        <w:t xml:space="preserve">05.02.2018; опубл. </w:t>
      </w:r>
      <w:r>
        <w:rPr>
          <w:rFonts w:eastAsia="ＭＳ 明朝" w:eastAsiaTheme="minorEastAsia"/>
          <w:sz w:val="24"/>
          <w:szCs w:val="24"/>
          <w:lang w:val="en-US"/>
        </w:rPr>
        <w:t> </w:t>
      </w:r>
      <w:r>
        <w:rPr>
          <w:rFonts w:eastAsia="ＭＳ 明朝" w:eastAsiaTheme="minorEastAsia"/>
          <w:bCs/>
          <w:sz w:val="24"/>
          <w:szCs w:val="24"/>
          <w:lang w:val="en-US"/>
        </w:rPr>
        <w:t xml:space="preserve">25.07.2018. - Бюл. № 14 – 5 c. </w:t>
      </w:r>
      <w:r/>
    </w:p>
    <w:p>
      <w:pPr>
        <w:pStyle w:val="Normal"/>
      </w:pPr>
      <w:r>
        <w:rPr/>
      </w:r>
      <w:r/>
    </w:p>
    <w:sectPr>
      <w:type w:val="nextPage"/>
      <w:pgSz w:w="11906" w:h="16838"/>
      <w:pgMar w:left="1800" w:right="1800" w:header="0" w:top="1440" w:footer="0" w:bottom="1440"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MinionPro-Bol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 w:cstheme="minorBidi" w:eastAsiaTheme="minorEastAsia"/>
        <w:szCs w:val="24"/>
        <w:lang w:val="ru-RU" w:eastAsia="ja-JP"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uiPriority="0" w:name="Body Text 3"/>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d65428"/>
    <w:pPr>
      <w:widowControl/>
      <w:suppressAutoHyphens w:val="true"/>
      <w:bidi w:val="0"/>
      <w:jc w:val="left"/>
    </w:pPr>
    <w:rPr>
      <w:rFonts w:eastAsia="Times New Roman" w:cs="Times New Roman" w:ascii="Times New Roman" w:hAnsi="Times New Roman"/>
      <w:color w:val="auto"/>
      <w:sz w:val="28"/>
      <w:szCs w:val="20"/>
      <w:lang w:eastAsia="ru-RU" w:val="ru-RU" w:bidi="ar-SA"/>
    </w:rPr>
  </w:style>
  <w:style w:type="character" w:styleId="DefaultParagraphFont" w:default="1">
    <w:name w:val="Default Paragraph Font"/>
    <w:uiPriority w:val="1"/>
    <w:semiHidden/>
    <w:unhideWhenUsed/>
    <w:rPr/>
  </w:style>
  <w:style w:type="character" w:styleId="BodyText3Char" w:customStyle="1">
    <w:name w:val="Body Text 3 Char"/>
    <w:basedOn w:val="DefaultParagraphFont"/>
    <w:link w:val="BodyText3"/>
    <w:rsid w:val="00d65428"/>
    <w:rPr>
      <w:rFonts w:eastAsia="Times New Roman" w:cs="Times New Roman"/>
      <w:sz w:val="28"/>
      <w:szCs w:val="20"/>
      <w:lang w:val="en-US" w:eastAsia="ru-RU"/>
    </w:rPr>
  </w:style>
  <w:style w:type="character" w:styleId="A11" w:customStyle="1">
    <w:name w:val="A11"/>
    <w:uiPriority w:val="99"/>
    <w:rsid w:val="00d65428"/>
    <w:rPr>
      <w:rFonts w:cs="Myriad Pro"/>
      <w:color w:val="000000"/>
      <w:sz w:val="16"/>
      <w:szCs w:val="16"/>
    </w:rPr>
  </w:style>
  <w:style w:type="paragraph" w:styleId="Style14">
    <w:name w:val="Заголовок"/>
    <w:basedOn w:val="Normal"/>
    <w:next w:val="Style15"/>
    <w:pPr>
      <w:keepNext/>
      <w:spacing w:before="240" w:after="120"/>
    </w:pPr>
    <w:rPr>
      <w:rFonts w:ascii="Liberation Sans" w:hAnsi="Liberation Sans" w:eastAsia="Droid Sans Fallback" w:cs="Lohit Hindi"/>
      <w:sz w:val="28"/>
      <w:szCs w:val="28"/>
    </w:rPr>
  </w:style>
  <w:style w:type="paragraph" w:styleId="Style15">
    <w:name w:val="Основний текст"/>
    <w:basedOn w:val="Normal"/>
    <w:pPr>
      <w:spacing w:lineRule="auto" w:line="288" w:before="0" w:after="140"/>
    </w:pPr>
    <w:rPr/>
  </w:style>
  <w:style w:type="paragraph" w:styleId="Style16">
    <w:name w:val="Список"/>
    <w:basedOn w:val="Style15"/>
    <w:pPr/>
    <w:rPr>
      <w:rFonts w:cs="Lohit Hindi"/>
    </w:rPr>
  </w:style>
  <w:style w:type="paragraph" w:styleId="Style17">
    <w:name w:val="Розділ"/>
    <w:basedOn w:val="Normal"/>
    <w:pPr>
      <w:suppressLineNumbers/>
      <w:spacing w:before="120" w:after="120"/>
    </w:pPr>
    <w:rPr>
      <w:rFonts w:cs="Lohit Hindi"/>
      <w:i/>
      <w:iCs/>
      <w:sz w:val="24"/>
      <w:szCs w:val="24"/>
    </w:rPr>
  </w:style>
  <w:style w:type="paragraph" w:styleId="Style18">
    <w:name w:val="Покажчик"/>
    <w:basedOn w:val="Normal"/>
    <w:pPr>
      <w:suppressLineNumbers/>
    </w:pPr>
    <w:rPr>
      <w:rFonts w:cs="Lohit Hindi"/>
    </w:rPr>
  </w:style>
  <w:style w:type="paragraph" w:styleId="ListParagraph">
    <w:name w:val="List Paragraph"/>
    <w:basedOn w:val="Normal"/>
    <w:uiPriority w:val="34"/>
    <w:qFormat/>
    <w:rsid w:val="00d65428"/>
    <w:pPr>
      <w:spacing w:lineRule="auto" w:line="360" w:before="0" w:after="0"/>
      <w:ind w:left="720" w:firstLine="709"/>
      <w:contextualSpacing/>
      <w:jc w:val="both"/>
    </w:pPr>
    <w:rPr>
      <w:szCs w:val="28"/>
      <w:lang w:val="uk-UA" w:eastAsia="uk-UA"/>
    </w:rPr>
  </w:style>
  <w:style w:type="paragraph" w:styleId="BodyText3">
    <w:name w:val="Body Text 3"/>
    <w:basedOn w:val="Normal"/>
    <w:link w:val="BodyText3Char"/>
    <w:rsid w:val="00d65428"/>
    <w:pPr>
      <w:jc w:val="both"/>
    </w:pPr>
    <w:rPr>
      <w:lang w:val="en-U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LibreOffice/4.3.3.2$Linux_x86 LibreOffice_project/9bb7eadab57b6755b1265afa86e04bf45fbfc644</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2018-12-07T09:45:00Z</dcterms:created>
  <dc:creator>hm</dc:creator>
  <dc:language>uk-UA</dc:language>
  <cp:lastModifiedBy>hm</cp:lastModifiedBy>
  <dcterms:modified xsi:type="dcterms:W3CDTF">2018-12-07T09:49:00Z</dcterms:modified>
  <cp:revision>1</cp:revision>
</cp:coreProperties>
</file>